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FF98" w14:textId="633899C6" w:rsidR="00723F07" w:rsidRPr="007641B8" w:rsidRDefault="007641B8" w:rsidP="007641B8">
      <w:pPr>
        <w:ind w:left="0" w:firstLine="0"/>
        <w:jc w:val="center"/>
        <w:rPr>
          <w:b/>
          <w:bCs/>
          <w:color w:val="0070C0"/>
          <w:sz w:val="28"/>
          <w:szCs w:val="28"/>
        </w:rPr>
      </w:pPr>
      <w:r w:rsidRPr="007641B8">
        <w:rPr>
          <w:b/>
          <w:bCs/>
          <w:color w:val="0070C0"/>
          <w:sz w:val="28"/>
          <w:szCs w:val="28"/>
        </w:rPr>
        <w:t>Saisonvorbereitung</w:t>
      </w:r>
      <w:r w:rsidR="002B4F1D">
        <w:rPr>
          <w:b/>
          <w:bCs/>
          <w:color w:val="0070C0"/>
          <w:sz w:val="28"/>
          <w:szCs w:val="28"/>
        </w:rPr>
        <w:t xml:space="preserve"> - </w:t>
      </w:r>
      <w:r w:rsidRPr="007641B8">
        <w:rPr>
          <w:b/>
          <w:bCs/>
          <w:color w:val="0070C0"/>
          <w:sz w:val="28"/>
          <w:szCs w:val="28"/>
        </w:rPr>
        <w:t xml:space="preserve">Aufgaben und Termine </w:t>
      </w:r>
      <w:r w:rsidR="002B4F1D" w:rsidRPr="007641B8">
        <w:rPr>
          <w:b/>
          <w:bCs/>
          <w:color w:val="0070C0"/>
          <w:sz w:val="28"/>
          <w:szCs w:val="28"/>
        </w:rPr>
        <w:t>für</w:t>
      </w:r>
      <w:r w:rsidRPr="007641B8">
        <w:rPr>
          <w:b/>
          <w:bCs/>
          <w:color w:val="0070C0"/>
          <w:sz w:val="28"/>
          <w:szCs w:val="28"/>
        </w:rPr>
        <w:t xml:space="preserve"> die Vereine</w:t>
      </w:r>
    </w:p>
    <w:p w14:paraId="7E4B47BD" w14:textId="77777777" w:rsidR="007641B8" w:rsidRDefault="007641B8" w:rsidP="007641B8">
      <w:pPr>
        <w:ind w:left="0" w:firstLine="0"/>
        <w:jc w:val="left"/>
      </w:pPr>
    </w:p>
    <w:p w14:paraId="023A6874" w14:textId="55952B9F" w:rsidR="007641B8" w:rsidRDefault="007641B8" w:rsidP="007641B8">
      <w:pPr>
        <w:ind w:left="0" w:firstLine="0"/>
        <w:jc w:val="left"/>
      </w:pPr>
      <w:r>
        <w:t>Im Vereinsportal Click-TT-Thüringen, Menüpunkt Meldung, bearbeiten die</w:t>
      </w:r>
      <w:r>
        <w:t xml:space="preserve"> </w:t>
      </w:r>
      <w:r>
        <w:t>Vereinsadministratoren und Mitglieder mit dem Recht „Meldung“ die Funktionen:</w:t>
      </w:r>
    </w:p>
    <w:p w14:paraId="6FE783F9" w14:textId="77777777" w:rsidR="007641B8" w:rsidRPr="007641B8" w:rsidRDefault="007641B8" w:rsidP="007641B8">
      <w:pPr>
        <w:ind w:left="0" w:firstLine="0"/>
        <w:jc w:val="left"/>
        <w:rPr>
          <w:b/>
          <w:bCs/>
        </w:rPr>
      </w:pPr>
      <w:r w:rsidRPr="007641B8">
        <w:rPr>
          <w:b/>
          <w:bCs/>
        </w:rPr>
        <w:t xml:space="preserve">Vereinsmeldung, Terminmeldung und Mannschaftsmeldung </w:t>
      </w:r>
    </w:p>
    <w:p w14:paraId="1FBED382" w14:textId="77777777" w:rsidR="007641B8" w:rsidRDefault="007641B8" w:rsidP="007641B8">
      <w:pPr>
        <w:ind w:left="0" w:firstLine="0"/>
        <w:jc w:val="left"/>
      </w:pPr>
    </w:p>
    <w:p w14:paraId="7F0BCD48" w14:textId="77777777" w:rsidR="007641B8" w:rsidRDefault="007641B8" w:rsidP="007641B8">
      <w:pPr>
        <w:ind w:left="0" w:firstLine="0"/>
        <w:jc w:val="left"/>
      </w:pPr>
      <w:r>
        <w:t xml:space="preserve">Der Zugriff auf die einzelnen Funktionen ist </w:t>
      </w:r>
      <w:r w:rsidRPr="00F3750C">
        <w:rPr>
          <w:b/>
        </w:rPr>
        <w:t>nur innerhalb der Meldezeiträume</w:t>
      </w:r>
      <w:r>
        <w:t xml:space="preserve"> (in der linken Spalte für jede Ebene angezeigt) möglich, die durch die WO vorgegeben sind.</w:t>
      </w:r>
    </w:p>
    <w:p w14:paraId="77D9F0F9" w14:textId="02CF39C6" w:rsidR="007641B8" w:rsidRDefault="007641B8" w:rsidP="007641B8">
      <w:pPr>
        <w:ind w:left="0" w:firstLine="0"/>
        <w:jc w:val="left"/>
      </w:pPr>
      <w:r>
        <w:t>Die Meldezeiträume für DTTB (nationale Ligen) und TTTV (regionale Ligen) können voneinander abweichen.</w:t>
      </w:r>
    </w:p>
    <w:p w14:paraId="79BD49F9" w14:textId="77777777" w:rsidR="007641B8" w:rsidRDefault="007641B8" w:rsidP="007641B8">
      <w:pPr>
        <w:ind w:left="0" w:firstLine="0"/>
        <w:jc w:val="left"/>
        <w:rPr>
          <w:b/>
        </w:rPr>
      </w:pPr>
    </w:p>
    <w:p w14:paraId="7EFE835A" w14:textId="62E802B8" w:rsidR="007641B8" w:rsidRPr="007641B8" w:rsidRDefault="007641B8" w:rsidP="007641B8">
      <w:pPr>
        <w:ind w:left="0" w:firstLine="0"/>
        <w:jc w:val="left"/>
        <w:rPr>
          <w:b/>
        </w:rPr>
      </w:pPr>
      <w:r w:rsidRPr="007641B8">
        <w:rPr>
          <w:b/>
        </w:rPr>
        <w:t xml:space="preserve">Wenn die Meldefenster geschlossen sind, müssen Sie mit dem Verbands-Administrator Kontakt aufnehmen. </w:t>
      </w:r>
    </w:p>
    <w:p w14:paraId="0502207D" w14:textId="77777777" w:rsidR="007641B8" w:rsidRPr="00F3750C" w:rsidRDefault="007641B8" w:rsidP="007641B8">
      <w:pPr>
        <w:ind w:left="0" w:firstLine="0"/>
        <w:jc w:val="left"/>
      </w:pPr>
    </w:p>
    <w:p w14:paraId="19B0C91F" w14:textId="77777777" w:rsidR="007641B8" w:rsidRPr="00F3750C" w:rsidRDefault="007641B8" w:rsidP="002B4F1D">
      <w:pPr>
        <w:spacing w:after="120"/>
        <w:ind w:left="0" w:firstLine="0"/>
        <w:jc w:val="left"/>
        <w:rPr>
          <w:b/>
        </w:rPr>
      </w:pPr>
      <w:r w:rsidRPr="00F3750C">
        <w:rPr>
          <w:b/>
          <w:bCs/>
        </w:rPr>
        <w:t>Vereinsmeldung</w:t>
      </w:r>
      <w:r w:rsidRPr="00F3750C">
        <w:rPr>
          <w:b/>
        </w:rPr>
        <w:t xml:space="preserve">       </w:t>
      </w:r>
      <w:r w:rsidRPr="00F3750C">
        <w:rPr>
          <w:b/>
          <w:color w:val="FF0000"/>
        </w:rPr>
        <w:t>(keine Mannschaftsaufstellung)</w:t>
      </w:r>
    </w:p>
    <w:p w14:paraId="55B05B0C" w14:textId="48104D77" w:rsidR="007641B8" w:rsidRPr="00F3750C" w:rsidRDefault="007641B8" w:rsidP="002B4F1D">
      <w:pPr>
        <w:tabs>
          <w:tab w:val="left" w:pos="5103"/>
        </w:tabs>
        <w:spacing w:after="120"/>
        <w:ind w:left="0" w:firstLine="0"/>
        <w:jc w:val="left"/>
        <w:rPr>
          <w:b/>
        </w:rPr>
      </w:pPr>
      <w:r w:rsidRPr="00F3750C">
        <w:t>Termin / Zeitfenster für die Vereinsmeldung:</w:t>
      </w:r>
      <w:r w:rsidRPr="00F3750C">
        <w:rPr>
          <w:b/>
        </w:rPr>
        <w:tab/>
      </w:r>
      <w:r w:rsidRPr="00F3750C">
        <w:rPr>
          <w:b/>
        </w:rPr>
        <w:t>01.06. bis 10.06. des Jahres.</w:t>
      </w:r>
    </w:p>
    <w:p w14:paraId="7CF61F96" w14:textId="77777777" w:rsidR="007641B8" w:rsidRPr="00F3750C" w:rsidRDefault="007641B8" w:rsidP="00F3750C">
      <w:pPr>
        <w:ind w:left="0" w:firstLine="0"/>
        <w:jc w:val="left"/>
      </w:pPr>
      <w:r w:rsidRPr="00F3750C">
        <w:t>Die Vereinsmeldung beinhaltet die Meldung aller Mannschaften eines Vereins für die neue Saison. Dabei werden im Normalfall sowohl die bestehenden Mannschaften entsprechend ihren Ergebnissen aus der Vorsaison entweder in der bestehenden Liga bestätigt oder bei Auf- bzw. Abstieg für eine neue Liga gemeldet als auch neue Mannschaften gemeldet.</w:t>
      </w:r>
    </w:p>
    <w:p w14:paraId="28FAE856" w14:textId="1D26EC7C" w:rsidR="002B4F1D" w:rsidRPr="00F3750C" w:rsidRDefault="002B4F1D" w:rsidP="002B4F1D">
      <w:pPr>
        <w:ind w:left="0" w:firstLine="708"/>
        <w:jc w:val="left"/>
      </w:pPr>
      <w:hyperlink r:id="rId7" w:history="1">
        <w:r w:rsidRPr="00F3750C">
          <w:rPr>
            <w:rStyle w:val="Hyperlink"/>
          </w:rPr>
          <w:t>Anleitung zur Vereinsmeldung auf tttv.info</w:t>
        </w:r>
      </w:hyperlink>
    </w:p>
    <w:p w14:paraId="0926AEDD" w14:textId="3CAFEE61" w:rsidR="007641B8" w:rsidRPr="00F3750C" w:rsidRDefault="007641B8" w:rsidP="007641B8">
      <w:pPr>
        <w:ind w:left="0" w:firstLine="0"/>
        <w:jc w:val="left"/>
      </w:pPr>
    </w:p>
    <w:p w14:paraId="56A6E126" w14:textId="77777777" w:rsidR="007641B8" w:rsidRPr="00F3750C" w:rsidRDefault="007641B8" w:rsidP="002B4F1D">
      <w:pPr>
        <w:spacing w:after="120"/>
        <w:ind w:left="0" w:firstLine="0"/>
        <w:jc w:val="left"/>
        <w:rPr>
          <w:b/>
          <w:bCs/>
        </w:rPr>
      </w:pPr>
      <w:r w:rsidRPr="00F3750C">
        <w:rPr>
          <w:b/>
          <w:bCs/>
        </w:rPr>
        <w:t>Terminmeldung</w:t>
      </w:r>
    </w:p>
    <w:p w14:paraId="516D8829" w14:textId="6438DC74" w:rsidR="007641B8" w:rsidRPr="00F3750C" w:rsidRDefault="007641B8" w:rsidP="002B4F1D">
      <w:pPr>
        <w:tabs>
          <w:tab w:val="left" w:pos="5103"/>
        </w:tabs>
        <w:spacing w:after="120"/>
        <w:ind w:left="0" w:firstLine="0"/>
        <w:jc w:val="left"/>
        <w:rPr>
          <w:b/>
        </w:rPr>
      </w:pPr>
      <w:r w:rsidRPr="00F3750C">
        <w:t xml:space="preserve">Termin / Zeitfenster </w:t>
      </w:r>
      <w:r w:rsidR="00F3750C" w:rsidRPr="00F3750C">
        <w:t xml:space="preserve">für </w:t>
      </w:r>
      <w:r w:rsidRPr="00F3750C">
        <w:t>Terminmeldung:</w:t>
      </w:r>
      <w:r w:rsidRPr="00F3750C">
        <w:rPr>
          <w:b/>
        </w:rPr>
        <w:tab/>
      </w:r>
      <w:r w:rsidRPr="00F3750C">
        <w:rPr>
          <w:b/>
        </w:rPr>
        <w:t>01.06. bis 10.06. des Jahres.</w:t>
      </w:r>
    </w:p>
    <w:p w14:paraId="569CAC63" w14:textId="4A6E15DE" w:rsidR="007641B8" w:rsidRPr="00F3750C" w:rsidRDefault="007641B8" w:rsidP="007641B8">
      <w:pPr>
        <w:ind w:left="0" w:firstLine="0"/>
        <w:jc w:val="left"/>
      </w:pPr>
      <w:r w:rsidRPr="00F3750C">
        <w:t>Die Terminwünsche beinhalten für alle gemeldeten Mannschaften die Angabe des Heimspieltages, der Uhrzeit, Wünsche für die Spielansetzungen sowie vereinsweite bzw. mannschaftsbezogene Sperrtermine.</w:t>
      </w:r>
      <w:r w:rsidR="002B4F1D" w:rsidRPr="00F3750C">
        <w:t xml:space="preserve"> </w:t>
      </w:r>
      <w:r w:rsidRPr="00F3750C">
        <w:t>Diese Angaben helfen den Staffelleitern bei der Erstellung des Ansetzungsentwurfs für die neue Saison.</w:t>
      </w:r>
    </w:p>
    <w:p w14:paraId="538E3252" w14:textId="77777777" w:rsidR="007641B8" w:rsidRPr="00F3750C" w:rsidRDefault="007641B8" w:rsidP="007641B8">
      <w:pPr>
        <w:ind w:left="0" w:firstLine="0"/>
        <w:jc w:val="left"/>
      </w:pPr>
    </w:p>
    <w:p w14:paraId="6BE64843" w14:textId="4C3D0D7A" w:rsidR="007641B8" w:rsidRPr="00F3750C" w:rsidRDefault="007641B8" w:rsidP="002B4F1D">
      <w:pPr>
        <w:spacing w:after="120"/>
        <w:ind w:left="0" w:firstLine="0"/>
        <w:jc w:val="left"/>
        <w:rPr>
          <w:b/>
          <w:bCs/>
        </w:rPr>
      </w:pPr>
      <w:r w:rsidRPr="00F3750C">
        <w:rPr>
          <w:b/>
          <w:bCs/>
        </w:rPr>
        <w:t xml:space="preserve">Mannschaftsmeldung      </w:t>
      </w:r>
      <w:r w:rsidRPr="00F3750C">
        <w:rPr>
          <w:b/>
          <w:bCs/>
          <w:color w:val="FF0000"/>
        </w:rPr>
        <w:t>(Mannschaftsaufstellung)</w:t>
      </w:r>
    </w:p>
    <w:p w14:paraId="4EEA8793" w14:textId="672C3615" w:rsidR="007641B8" w:rsidRPr="00F3750C" w:rsidRDefault="007641B8" w:rsidP="00F3750C">
      <w:pPr>
        <w:tabs>
          <w:tab w:val="left" w:pos="5103"/>
        </w:tabs>
        <w:ind w:left="0" w:firstLine="0"/>
        <w:jc w:val="left"/>
      </w:pPr>
      <w:r w:rsidRPr="00F3750C">
        <w:t xml:space="preserve">Termin / Zeitfenster </w:t>
      </w:r>
      <w:r w:rsidR="00F3750C" w:rsidRPr="00F3750C">
        <w:t xml:space="preserve">für </w:t>
      </w:r>
      <w:r w:rsidRPr="00F3750C">
        <w:t>Mannschaftsmeldung</w:t>
      </w:r>
      <w:r w:rsidR="00F3750C" w:rsidRPr="00F3750C">
        <w:t xml:space="preserve"> Vorrunde:</w:t>
      </w:r>
      <w:r w:rsidRPr="00F3750C">
        <w:tab/>
      </w:r>
      <w:r w:rsidRPr="00F3750C">
        <w:rPr>
          <w:b/>
        </w:rPr>
        <w:t>20.06. bis 01.07.</w:t>
      </w:r>
      <w:r w:rsidRPr="00F3750C">
        <w:t xml:space="preserve"> des Jahres </w:t>
      </w:r>
    </w:p>
    <w:p w14:paraId="165FFCE1" w14:textId="687D164A" w:rsidR="007641B8" w:rsidRPr="00F3750C" w:rsidRDefault="00F3750C" w:rsidP="00F3750C">
      <w:pPr>
        <w:tabs>
          <w:tab w:val="left" w:pos="1134"/>
          <w:tab w:val="left" w:pos="5103"/>
        </w:tabs>
        <w:spacing w:after="120"/>
        <w:ind w:left="0" w:firstLine="0"/>
        <w:jc w:val="left"/>
      </w:pPr>
      <w:r w:rsidRPr="00F3750C">
        <w:t>Termin / Zeitfenster für Mannschaftsmeldung Rückrunde:</w:t>
      </w:r>
      <w:r w:rsidRPr="00F3750C">
        <w:tab/>
      </w:r>
      <w:r w:rsidR="007641B8" w:rsidRPr="00F3750C">
        <w:rPr>
          <w:b/>
        </w:rPr>
        <w:t>16.12. bis 22.12.</w:t>
      </w:r>
      <w:r w:rsidR="007641B8" w:rsidRPr="00F3750C">
        <w:t xml:space="preserve"> des Jahres</w:t>
      </w:r>
    </w:p>
    <w:p w14:paraId="51E0A348" w14:textId="77777777" w:rsidR="007641B8" w:rsidRPr="00F3750C" w:rsidRDefault="007641B8" w:rsidP="002B4F1D">
      <w:pPr>
        <w:spacing w:after="120"/>
        <w:ind w:left="0" w:firstLine="0"/>
        <w:jc w:val="left"/>
      </w:pPr>
      <w:r w:rsidRPr="00F3750C">
        <w:t>Die Mannschaftsmeldung beinhaltet die Aufstellung der einzelnen Mannschaften des Vereins nach der Spielstärke. Dabei sind die Bestimmungen der WO des DTTB einzuhalten.</w:t>
      </w:r>
    </w:p>
    <w:p w14:paraId="31E4D5E7" w14:textId="77777777" w:rsidR="007641B8" w:rsidRPr="00F3750C" w:rsidRDefault="007641B8" w:rsidP="00F3750C">
      <w:pPr>
        <w:ind w:left="0" w:firstLine="0"/>
        <w:jc w:val="left"/>
      </w:pPr>
      <w:r w:rsidRPr="00F3750C">
        <w:t>Die Mannschaftsmeldung muss in Click-TT nicht extra vom Verein genehmigt werden.</w:t>
      </w:r>
    </w:p>
    <w:p w14:paraId="6FAD9C22" w14:textId="717E7C50" w:rsidR="002B4F1D" w:rsidRPr="00F3750C" w:rsidRDefault="002B4F1D" w:rsidP="002B4F1D">
      <w:pPr>
        <w:ind w:left="0" w:firstLine="708"/>
        <w:jc w:val="left"/>
      </w:pPr>
      <w:hyperlink r:id="rId8" w:history="1">
        <w:r w:rsidRPr="00F3750C">
          <w:rPr>
            <w:rStyle w:val="Hyperlink"/>
          </w:rPr>
          <w:t xml:space="preserve">Anleitung zur </w:t>
        </w:r>
        <w:r w:rsidRPr="00F3750C">
          <w:rPr>
            <w:rStyle w:val="Hyperlink"/>
          </w:rPr>
          <w:t>Mannschafts</w:t>
        </w:r>
        <w:r w:rsidRPr="00F3750C">
          <w:rPr>
            <w:rStyle w:val="Hyperlink"/>
          </w:rPr>
          <w:t>meldung auf tttv.info</w:t>
        </w:r>
      </w:hyperlink>
    </w:p>
    <w:p w14:paraId="32EEC31B" w14:textId="77777777" w:rsidR="007641B8" w:rsidRPr="00F3750C" w:rsidRDefault="007641B8" w:rsidP="007641B8">
      <w:pPr>
        <w:ind w:left="0" w:firstLine="0"/>
        <w:jc w:val="left"/>
      </w:pPr>
    </w:p>
    <w:p w14:paraId="0CBFA187" w14:textId="77777777" w:rsidR="007641B8" w:rsidRPr="00F3750C" w:rsidRDefault="007641B8" w:rsidP="002B4F1D">
      <w:pPr>
        <w:spacing w:after="120"/>
        <w:ind w:left="0" w:firstLine="0"/>
        <w:jc w:val="left"/>
        <w:rPr>
          <w:b/>
          <w:bCs/>
        </w:rPr>
      </w:pPr>
      <w:r w:rsidRPr="00F3750C">
        <w:rPr>
          <w:b/>
          <w:bCs/>
        </w:rPr>
        <w:t>Löschung von Spielberechtigungen</w:t>
      </w:r>
    </w:p>
    <w:p w14:paraId="7ED0D96B" w14:textId="551C059E" w:rsidR="00F3750C" w:rsidRPr="00F3750C" w:rsidRDefault="007641B8" w:rsidP="002B4F1D">
      <w:pPr>
        <w:ind w:left="0" w:firstLine="0"/>
        <w:jc w:val="left"/>
      </w:pPr>
      <w:r w:rsidRPr="00F3750C">
        <w:t>Damit diese nicht bei der 2. Jahresrechnung berechnet werden</w:t>
      </w:r>
      <w:r w:rsidR="00F3750C">
        <w:t>, b</w:t>
      </w:r>
      <w:r w:rsidR="00F3750C" w:rsidRPr="00F3750C">
        <w:rPr>
          <w:bCs/>
        </w:rPr>
        <w:t xml:space="preserve">is </w:t>
      </w:r>
      <w:r w:rsidR="00F3750C" w:rsidRPr="00F3750C">
        <w:rPr>
          <w:b/>
          <w:bCs/>
        </w:rPr>
        <w:t>30.06.</w:t>
      </w:r>
      <w:r w:rsidR="00F3750C" w:rsidRPr="00F3750C">
        <w:t xml:space="preserve"> über </w:t>
      </w:r>
      <w:proofErr w:type="spellStart"/>
      <w:r w:rsidR="00F3750C">
        <w:t>c</w:t>
      </w:r>
      <w:r w:rsidR="00F3750C" w:rsidRPr="00F3750C">
        <w:t>lick</w:t>
      </w:r>
      <w:proofErr w:type="spellEnd"/>
      <w:r w:rsidR="00F3750C" w:rsidRPr="00F3750C">
        <w:t>-TT eingeben.</w:t>
      </w:r>
    </w:p>
    <w:p w14:paraId="76F8BA43" w14:textId="77777777" w:rsidR="007641B8" w:rsidRPr="00F3750C" w:rsidRDefault="007641B8" w:rsidP="007641B8">
      <w:pPr>
        <w:ind w:left="0" w:firstLine="0"/>
        <w:jc w:val="left"/>
      </w:pPr>
    </w:p>
    <w:p w14:paraId="4DAC5E05" w14:textId="77777777" w:rsidR="007641B8" w:rsidRPr="00F3750C" w:rsidRDefault="007641B8" w:rsidP="007641B8">
      <w:pPr>
        <w:ind w:left="0" w:firstLine="0"/>
        <w:jc w:val="left"/>
      </w:pPr>
    </w:p>
    <w:p w14:paraId="626CFF1C" w14:textId="135EFFDE" w:rsidR="00414639" w:rsidRDefault="00C14BFA" w:rsidP="007641B8">
      <w:pPr>
        <w:ind w:left="0" w:firstLine="0"/>
        <w:jc w:val="left"/>
      </w:pPr>
      <w:r>
        <w:t>Stand: 202</w:t>
      </w:r>
      <w:r w:rsidR="004809DA">
        <w:t>5</w:t>
      </w:r>
    </w:p>
    <w:sectPr w:rsidR="00414639" w:rsidSect="0002250B">
      <w:headerReference w:type="default" r:id="rId9"/>
      <w:footerReference w:type="default" r:id="rId10"/>
      <w:pgSz w:w="11906" w:h="16838"/>
      <w:pgMar w:top="2269" w:right="1134"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F878" w14:textId="77777777" w:rsidR="00623462" w:rsidRDefault="00623462" w:rsidP="0002250B">
      <w:r>
        <w:separator/>
      </w:r>
    </w:p>
  </w:endnote>
  <w:endnote w:type="continuationSeparator" w:id="0">
    <w:p w14:paraId="706FB47F" w14:textId="77777777" w:rsidR="00623462" w:rsidRDefault="00623462" w:rsidP="0002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071"/>
      <w:gridCol w:w="3071"/>
      <w:gridCol w:w="3072"/>
    </w:tblGrid>
    <w:tr w:rsidR="00D1402A" w:rsidRPr="008C4E42" w14:paraId="4422DA14" w14:textId="77777777" w:rsidTr="008F33EC">
      <w:trPr>
        <w:trHeight w:val="502"/>
      </w:trPr>
      <w:tc>
        <w:tcPr>
          <w:tcW w:w="3071" w:type="dxa"/>
          <w:shd w:val="clear" w:color="auto" w:fill="auto"/>
          <w:vAlign w:val="center"/>
        </w:tcPr>
        <w:p w14:paraId="6F8721F9" w14:textId="77777777" w:rsidR="00D1402A" w:rsidRPr="008C4E42" w:rsidRDefault="00D1402A" w:rsidP="00D1402A">
          <w:pPr>
            <w:jc w:val="center"/>
            <w:rPr>
              <w:rFonts w:cs="Arial"/>
              <w:sz w:val="18"/>
              <w:szCs w:val="18"/>
            </w:rPr>
          </w:pPr>
          <w:r w:rsidRPr="00A56FF2">
            <w:rPr>
              <w:rFonts w:cs="Arial"/>
              <w:noProof/>
              <w:sz w:val="18"/>
              <w:szCs w:val="18"/>
            </w:rPr>
            <w:drawing>
              <wp:inline distT="0" distB="0" distL="0" distR="0" wp14:anchorId="2915EAF7" wp14:editId="48E3E052">
                <wp:extent cx="1059180" cy="289560"/>
                <wp:effectExtent l="0" t="0" r="7620" b="0"/>
                <wp:docPr id="18" name="Grafik 18" descr="An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289560"/>
                        </a:xfrm>
                        <a:prstGeom prst="rect">
                          <a:avLst/>
                        </a:prstGeom>
                        <a:noFill/>
                        <a:ln>
                          <a:noFill/>
                        </a:ln>
                      </pic:spPr>
                    </pic:pic>
                  </a:graphicData>
                </a:graphic>
              </wp:inline>
            </w:drawing>
          </w:r>
        </w:p>
      </w:tc>
      <w:tc>
        <w:tcPr>
          <w:tcW w:w="3071" w:type="dxa"/>
          <w:vAlign w:val="center"/>
        </w:tcPr>
        <w:p w14:paraId="2E2F3070" w14:textId="77777777" w:rsidR="00D1402A" w:rsidRDefault="00D1402A" w:rsidP="00D1402A">
          <w:pPr>
            <w:jc w:val="center"/>
          </w:pPr>
          <w:r w:rsidRPr="00A56FF2">
            <w:rPr>
              <w:noProof/>
            </w:rPr>
            <w:drawing>
              <wp:inline distT="0" distB="0" distL="0" distR="0" wp14:anchorId="6921746A" wp14:editId="437C036A">
                <wp:extent cx="867600" cy="288000"/>
                <wp:effectExtent l="0" t="0" r="0" b="0"/>
                <wp:docPr id="15" name="Grafik 15" descr="Scho¦êler_Micke_image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êler_Micke_image_gros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7600" cy="288000"/>
                        </a:xfrm>
                        <a:prstGeom prst="rect">
                          <a:avLst/>
                        </a:prstGeom>
                        <a:noFill/>
                        <a:ln>
                          <a:noFill/>
                        </a:ln>
                      </pic:spPr>
                    </pic:pic>
                  </a:graphicData>
                </a:graphic>
              </wp:inline>
            </w:drawing>
          </w:r>
        </w:p>
      </w:tc>
      <w:tc>
        <w:tcPr>
          <w:tcW w:w="3072" w:type="dxa"/>
          <w:vAlign w:val="center"/>
        </w:tcPr>
        <w:p w14:paraId="63621094" w14:textId="77777777" w:rsidR="00D1402A" w:rsidRDefault="00D1402A" w:rsidP="00D1402A">
          <w:pPr>
            <w:jc w:val="center"/>
          </w:pPr>
          <w:r>
            <w:rPr>
              <w:noProof/>
              <w:sz w:val="14"/>
              <w:szCs w:val="14"/>
            </w:rPr>
            <w:drawing>
              <wp:inline distT="0" distB="0" distL="0" distR="0" wp14:anchorId="079BCB7C" wp14:editId="7ED9FC94">
                <wp:extent cx="1226247" cy="225168"/>
                <wp:effectExtent l="0" t="0" r="0" b="381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7086" cy="227158"/>
                        </a:xfrm>
                        <a:prstGeom prst="rect">
                          <a:avLst/>
                        </a:prstGeom>
                        <a:noFill/>
                        <a:ln>
                          <a:noFill/>
                        </a:ln>
                      </pic:spPr>
                    </pic:pic>
                  </a:graphicData>
                </a:graphic>
              </wp:inline>
            </w:drawing>
          </w:r>
        </w:p>
      </w:tc>
    </w:tr>
  </w:tbl>
  <w:p w14:paraId="7CA9D924" w14:textId="77777777" w:rsidR="00D537EE" w:rsidRPr="00D1402A" w:rsidRDefault="00D537EE" w:rsidP="00D1402A">
    <w:pPr>
      <w:pStyle w:val="Fuzeile"/>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C1AC" w14:textId="77777777" w:rsidR="00623462" w:rsidRDefault="00623462" w:rsidP="0002250B">
      <w:r>
        <w:separator/>
      </w:r>
    </w:p>
  </w:footnote>
  <w:footnote w:type="continuationSeparator" w:id="0">
    <w:p w14:paraId="480C9F2F" w14:textId="77777777" w:rsidR="00623462" w:rsidRDefault="00623462" w:rsidP="00022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7EE5" w14:textId="77777777" w:rsidR="00856795" w:rsidRDefault="00856795" w:rsidP="0002250B">
    <w:pPr>
      <w:pStyle w:val="Text"/>
      <w:tabs>
        <w:tab w:val="left" w:pos="895"/>
        <w:tab w:val="right" w:pos="10193"/>
      </w:tabs>
      <w:spacing w:line="240" w:lineRule="auto"/>
      <w:ind w:left="0" w:right="0" w:firstLine="0"/>
      <w:rPr>
        <w:b/>
        <w:bCs/>
        <w:color w:val="000000" w:themeColor="text1"/>
        <w:sz w:val="24"/>
        <w:szCs w:val="28"/>
      </w:rPr>
    </w:pPr>
    <w:r>
      <w:rPr>
        <w:b/>
        <w:bCs/>
        <w:noProof/>
        <w:color w:val="000000" w:themeColor="text1"/>
        <w:sz w:val="24"/>
        <w:szCs w:val="28"/>
      </w:rPr>
      <w:drawing>
        <wp:anchor distT="0" distB="0" distL="114300" distR="114300" simplePos="0" relativeHeight="251663360" behindDoc="1" locked="0" layoutInCell="1" allowOverlap="1" wp14:anchorId="179273D4" wp14:editId="68723E37">
          <wp:simplePos x="0" y="0"/>
          <wp:positionH relativeFrom="column">
            <wp:posOffset>-59182</wp:posOffset>
          </wp:positionH>
          <wp:positionV relativeFrom="paragraph">
            <wp:posOffset>787</wp:posOffset>
          </wp:positionV>
          <wp:extent cx="777133" cy="819303"/>
          <wp:effectExtent l="0" t="0" r="4445"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83322" cy="825828"/>
                  </a:xfrm>
                  <a:prstGeom prst="rect">
                    <a:avLst/>
                  </a:prstGeom>
                </pic:spPr>
              </pic:pic>
            </a:graphicData>
          </a:graphic>
          <wp14:sizeRelH relativeFrom="page">
            <wp14:pctWidth>0</wp14:pctWidth>
          </wp14:sizeRelH>
          <wp14:sizeRelV relativeFrom="page">
            <wp14:pctHeight>0</wp14:pctHeight>
          </wp14:sizeRelV>
        </wp:anchor>
      </w:drawing>
    </w:r>
  </w:p>
  <w:p w14:paraId="237004F7" w14:textId="77777777" w:rsidR="00856795" w:rsidRDefault="00856795" w:rsidP="0002250B">
    <w:pPr>
      <w:pStyle w:val="Text"/>
      <w:tabs>
        <w:tab w:val="left" w:pos="895"/>
        <w:tab w:val="right" w:pos="10193"/>
      </w:tabs>
      <w:spacing w:line="240" w:lineRule="auto"/>
      <w:ind w:left="0" w:firstLine="0"/>
      <w:rPr>
        <w:b/>
        <w:bCs/>
        <w:color w:val="000000" w:themeColor="text1"/>
        <w:sz w:val="20"/>
        <w:szCs w:val="20"/>
      </w:rPr>
    </w:pPr>
  </w:p>
  <w:p w14:paraId="1B7B2F2E" w14:textId="77777777" w:rsidR="00856795" w:rsidRDefault="00856795" w:rsidP="0002250B">
    <w:pPr>
      <w:pStyle w:val="Text"/>
      <w:tabs>
        <w:tab w:val="left" w:pos="895"/>
        <w:tab w:val="right" w:pos="10193"/>
      </w:tabs>
      <w:spacing w:line="240" w:lineRule="auto"/>
      <w:ind w:hanging="170"/>
      <w:rPr>
        <w:b/>
        <w:bCs/>
        <w:color w:val="000000" w:themeColor="text1"/>
        <w:sz w:val="20"/>
        <w:szCs w:val="20"/>
      </w:rPr>
    </w:pPr>
  </w:p>
  <w:p w14:paraId="5FCDBB12" w14:textId="77777777" w:rsidR="00856795" w:rsidRPr="00657FBA" w:rsidRDefault="00856795" w:rsidP="00D32861">
    <w:pPr>
      <w:pStyle w:val="Text"/>
      <w:tabs>
        <w:tab w:val="left" w:pos="895"/>
        <w:tab w:val="right" w:pos="10193"/>
      </w:tabs>
      <w:spacing w:line="240" w:lineRule="auto"/>
      <w:ind w:right="-2"/>
      <w:jc w:val="right"/>
      <w:rPr>
        <w:rFonts w:ascii="Arial" w:hAnsi="Arial" w:cs="Arial"/>
        <w:b/>
        <w:bCs/>
        <w:color w:val="000000" w:themeColor="text1"/>
        <w:sz w:val="20"/>
        <w:szCs w:val="20"/>
      </w:rPr>
    </w:pPr>
    <w:r w:rsidRPr="00657FBA">
      <w:rPr>
        <w:rFonts w:ascii="Arial" w:hAnsi="Arial" w:cs="Arial"/>
        <w:b/>
        <w:bCs/>
        <w:color w:val="000000" w:themeColor="text1"/>
        <w:sz w:val="20"/>
        <w:szCs w:val="20"/>
      </w:rPr>
      <w:t>Thüringer Tischtennis – Verband e. V.</w:t>
    </w:r>
  </w:p>
  <w:p w14:paraId="728E86B1" w14:textId="77777777" w:rsidR="00856795" w:rsidRDefault="00856795" w:rsidP="00D32861">
    <w:pPr>
      <w:pStyle w:val="Text"/>
      <w:spacing w:line="240" w:lineRule="auto"/>
      <w:ind w:right="-2"/>
      <w:jc w:val="right"/>
      <w:rPr>
        <w:rFonts w:ascii="Arial" w:hAnsi="Arial" w:cs="Arial"/>
        <w:b/>
        <w:bCs/>
        <w:color w:val="000000" w:themeColor="text1"/>
        <w:sz w:val="20"/>
        <w:szCs w:val="20"/>
      </w:rPr>
    </w:pPr>
    <w:r w:rsidRPr="00657FBA">
      <w:rPr>
        <w:rFonts w:ascii="Arial" w:hAnsi="Arial" w:cs="Arial"/>
        <w:b/>
        <w:bCs/>
        <w:color w:val="000000" w:themeColor="text1"/>
        <w:sz w:val="20"/>
        <w:szCs w:val="20"/>
      </w:rPr>
      <w:t>Geschäftsstelle</w:t>
    </w:r>
  </w:p>
  <w:p w14:paraId="60D21661" w14:textId="77777777" w:rsidR="00856795" w:rsidRPr="00657FBA" w:rsidRDefault="00856795" w:rsidP="0002250B">
    <w:pPr>
      <w:pStyle w:val="Text"/>
      <w:spacing w:line="240" w:lineRule="auto"/>
      <w:ind w:right="-2" w:hanging="170"/>
      <w:jc w:val="right"/>
      <w:rPr>
        <w:rFonts w:ascii="Arial" w:hAnsi="Arial" w:cs="Arial"/>
        <w:bCs/>
        <w:color w:val="000000" w:themeColor="text1"/>
        <w:sz w:val="20"/>
        <w:szCs w:val="20"/>
      </w:rPr>
    </w:pPr>
    <w:r>
      <w:rPr>
        <w:rFonts w:ascii="Arial" w:hAnsi="Arial" w:cs="Arial"/>
        <w:bCs/>
        <w:color w:val="000000" w:themeColor="text1"/>
        <w:sz w:val="20"/>
        <w:szCs w:val="20"/>
      </w:rPr>
      <w:t>_</w:t>
    </w:r>
    <w:r w:rsidRPr="00657FBA">
      <w:rPr>
        <w:rFonts w:ascii="Arial" w:hAnsi="Arial" w:cs="Arial"/>
        <w:bCs/>
        <w:color w:val="000000" w:themeColor="text1"/>
        <w:sz w:val="20"/>
        <w:szCs w:val="20"/>
      </w:rPr>
      <w:t>_________________________________________</w:t>
    </w:r>
    <w:r>
      <w:rPr>
        <w:rFonts w:ascii="Arial" w:hAnsi="Arial" w:cs="Arial"/>
        <w:bCs/>
        <w:color w:val="000000" w:themeColor="text1"/>
        <w:sz w:val="20"/>
        <w:szCs w:val="20"/>
      </w:rPr>
      <w:t>____</w:t>
    </w:r>
    <w:r w:rsidRPr="00657FBA">
      <w:rPr>
        <w:rFonts w:ascii="Arial" w:hAnsi="Arial" w:cs="Arial"/>
        <w:bCs/>
        <w:color w:val="000000" w:themeColor="text1"/>
        <w:sz w:val="20"/>
        <w:szCs w:val="20"/>
      </w:rPr>
      <w:t>______________________________________</w:t>
    </w:r>
  </w:p>
  <w:p w14:paraId="76B17E99" w14:textId="77777777" w:rsidR="00856795" w:rsidRDefault="00856795" w:rsidP="0002250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02259"/>
    <w:multiLevelType w:val="hybridMultilevel"/>
    <w:tmpl w:val="D172BB2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42335C57"/>
    <w:multiLevelType w:val="hybridMultilevel"/>
    <w:tmpl w:val="949A6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3AC69DF"/>
    <w:multiLevelType w:val="hybridMultilevel"/>
    <w:tmpl w:val="0AF0DBC4"/>
    <w:lvl w:ilvl="0" w:tplc="49C6B76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7BD50FC"/>
    <w:multiLevelType w:val="hybridMultilevel"/>
    <w:tmpl w:val="2BB4F1D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12340586">
    <w:abstractNumId w:val="1"/>
  </w:num>
  <w:num w:numId="2" w16cid:durableId="1985237998">
    <w:abstractNumId w:val="0"/>
  </w:num>
  <w:num w:numId="3" w16cid:durableId="1325280537">
    <w:abstractNumId w:val="3"/>
  </w:num>
  <w:num w:numId="4" w16cid:durableId="1138645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0B"/>
    <w:rsid w:val="00003BA9"/>
    <w:rsid w:val="00003DC5"/>
    <w:rsid w:val="0002250B"/>
    <w:rsid w:val="00027822"/>
    <w:rsid w:val="000F3068"/>
    <w:rsid w:val="001478B9"/>
    <w:rsid w:val="001634B1"/>
    <w:rsid w:val="0019017D"/>
    <w:rsid w:val="002B4F1D"/>
    <w:rsid w:val="002C1266"/>
    <w:rsid w:val="002C79FB"/>
    <w:rsid w:val="002D38CF"/>
    <w:rsid w:val="002F4351"/>
    <w:rsid w:val="002F7B40"/>
    <w:rsid w:val="00331E1D"/>
    <w:rsid w:val="003D7641"/>
    <w:rsid w:val="003F2AF4"/>
    <w:rsid w:val="00414639"/>
    <w:rsid w:val="004809DA"/>
    <w:rsid w:val="00480E16"/>
    <w:rsid w:val="005278CA"/>
    <w:rsid w:val="00533081"/>
    <w:rsid w:val="00590823"/>
    <w:rsid w:val="005A740E"/>
    <w:rsid w:val="005D2184"/>
    <w:rsid w:val="005D6210"/>
    <w:rsid w:val="00606442"/>
    <w:rsid w:val="00623462"/>
    <w:rsid w:val="006A2958"/>
    <w:rsid w:val="006B1652"/>
    <w:rsid w:val="006E65CD"/>
    <w:rsid w:val="00711698"/>
    <w:rsid w:val="0072160C"/>
    <w:rsid w:val="00723F07"/>
    <w:rsid w:val="0075301D"/>
    <w:rsid w:val="007641B8"/>
    <w:rsid w:val="00780FD4"/>
    <w:rsid w:val="007F4090"/>
    <w:rsid w:val="00802428"/>
    <w:rsid w:val="00856795"/>
    <w:rsid w:val="00891230"/>
    <w:rsid w:val="009820DD"/>
    <w:rsid w:val="009C4067"/>
    <w:rsid w:val="00A03A8D"/>
    <w:rsid w:val="00A06501"/>
    <w:rsid w:val="00A430C5"/>
    <w:rsid w:val="00A956F9"/>
    <w:rsid w:val="00AA1E51"/>
    <w:rsid w:val="00AB32D9"/>
    <w:rsid w:val="00B033ED"/>
    <w:rsid w:val="00B7623B"/>
    <w:rsid w:val="00C01E12"/>
    <w:rsid w:val="00C14BFA"/>
    <w:rsid w:val="00C212CD"/>
    <w:rsid w:val="00CF5E8F"/>
    <w:rsid w:val="00D1402A"/>
    <w:rsid w:val="00D32861"/>
    <w:rsid w:val="00D537EE"/>
    <w:rsid w:val="00DB1253"/>
    <w:rsid w:val="00DB3293"/>
    <w:rsid w:val="00DC4D5F"/>
    <w:rsid w:val="00DE64AA"/>
    <w:rsid w:val="00DF18CC"/>
    <w:rsid w:val="00E0703D"/>
    <w:rsid w:val="00E32A2E"/>
    <w:rsid w:val="00E92670"/>
    <w:rsid w:val="00E938C8"/>
    <w:rsid w:val="00EB1A8B"/>
    <w:rsid w:val="00EB4AE7"/>
    <w:rsid w:val="00F375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CC16"/>
  <w15:chartTrackingRefBased/>
  <w15:docId w15:val="{685A10EE-2D88-4891-918B-2FC4DD33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567"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250B"/>
    <w:rPr>
      <w:rFonts w:ascii="Arial" w:hAnsi="Arial"/>
    </w:rPr>
  </w:style>
  <w:style w:type="paragraph" w:styleId="berschrift1">
    <w:name w:val="heading 1"/>
    <w:basedOn w:val="Standard"/>
    <w:next w:val="Standard"/>
    <w:link w:val="berschrift1Zchn"/>
    <w:uiPriority w:val="9"/>
    <w:qFormat/>
    <w:rsid w:val="007641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2250B"/>
    <w:pPr>
      <w:tabs>
        <w:tab w:val="center" w:pos="4536"/>
        <w:tab w:val="right" w:pos="9072"/>
      </w:tabs>
    </w:pPr>
  </w:style>
  <w:style w:type="character" w:customStyle="1" w:styleId="KopfzeileZchn">
    <w:name w:val="Kopfzeile Zchn"/>
    <w:basedOn w:val="Absatz-Standardschriftart"/>
    <w:link w:val="Kopfzeile"/>
    <w:uiPriority w:val="99"/>
    <w:rsid w:val="0002250B"/>
    <w:rPr>
      <w:rFonts w:ascii="Arial" w:hAnsi="Arial"/>
    </w:rPr>
  </w:style>
  <w:style w:type="paragraph" w:styleId="Fuzeile">
    <w:name w:val="footer"/>
    <w:basedOn w:val="Standard"/>
    <w:link w:val="FuzeileZchn"/>
    <w:uiPriority w:val="99"/>
    <w:unhideWhenUsed/>
    <w:rsid w:val="0002250B"/>
    <w:pPr>
      <w:tabs>
        <w:tab w:val="center" w:pos="4536"/>
        <w:tab w:val="right" w:pos="9072"/>
      </w:tabs>
    </w:pPr>
  </w:style>
  <w:style w:type="character" w:customStyle="1" w:styleId="FuzeileZchn">
    <w:name w:val="Fußzeile Zchn"/>
    <w:basedOn w:val="Absatz-Standardschriftart"/>
    <w:link w:val="Fuzeile"/>
    <w:uiPriority w:val="99"/>
    <w:rsid w:val="0002250B"/>
    <w:rPr>
      <w:rFonts w:ascii="Arial" w:hAnsi="Arial"/>
    </w:rPr>
  </w:style>
  <w:style w:type="paragraph" w:customStyle="1" w:styleId="Text">
    <w:name w:val="Text"/>
    <w:basedOn w:val="Standard"/>
    <w:uiPriority w:val="3"/>
    <w:qFormat/>
    <w:rsid w:val="0002250B"/>
    <w:pPr>
      <w:spacing w:line="288" w:lineRule="auto"/>
      <w:ind w:left="170" w:right="113"/>
    </w:pPr>
    <w:rPr>
      <w:rFonts w:asciiTheme="minorHAnsi" w:hAnsiTheme="minorHAnsi" w:cstheme="minorHAnsi"/>
      <w:color w:val="404040" w:themeColor="text1" w:themeTint="BF"/>
      <w:szCs w:val="24"/>
    </w:rPr>
  </w:style>
  <w:style w:type="paragraph" w:styleId="Listenabsatz">
    <w:name w:val="List Paragraph"/>
    <w:basedOn w:val="Standard"/>
    <w:uiPriority w:val="34"/>
    <w:qFormat/>
    <w:rsid w:val="00EB4AE7"/>
    <w:pPr>
      <w:ind w:left="720"/>
      <w:contextualSpacing/>
    </w:pPr>
  </w:style>
  <w:style w:type="table" w:styleId="Tabellenraster">
    <w:name w:val="Table Grid"/>
    <w:basedOn w:val="NormaleTabelle"/>
    <w:uiPriority w:val="39"/>
    <w:rsid w:val="005D2184"/>
    <w:pPr>
      <w:ind w:left="0" w:firstLine="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37EE"/>
    <w:rPr>
      <w:color w:val="0000FF"/>
      <w:u w:val="single"/>
    </w:rPr>
  </w:style>
  <w:style w:type="character" w:styleId="NichtaufgelsteErwhnung">
    <w:name w:val="Unresolved Mention"/>
    <w:basedOn w:val="Absatz-Standardschriftart"/>
    <w:uiPriority w:val="99"/>
    <w:semiHidden/>
    <w:unhideWhenUsed/>
    <w:rsid w:val="004809DA"/>
    <w:rPr>
      <w:color w:val="605E5C"/>
      <w:shd w:val="clear" w:color="auto" w:fill="E1DFDD"/>
    </w:rPr>
  </w:style>
  <w:style w:type="character" w:customStyle="1" w:styleId="berschrift1Zchn">
    <w:name w:val="Überschrift 1 Zchn"/>
    <w:basedOn w:val="Absatz-Standardschriftart"/>
    <w:link w:val="berschrift1"/>
    <w:uiPriority w:val="9"/>
    <w:rsid w:val="007641B8"/>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7641B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41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75946">
      <w:bodyDiv w:val="1"/>
      <w:marLeft w:val="0"/>
      <w:marRight w:val="0"/>
      <w:marTop w:val="0"/>
      <w:marBottom w:val="0"/>
      <w:divBdr>
        <w:top w:val="none" w:sz="0" w:space="0" w:color="auto"/>
        <w:left w:val="none" w:sz="0" w:space="0" w:color="auto"/>
        <w:bottom w:val="none" w:sz="0" w:space="0" w:color="auto"/>
        <w:right w:val="none" w:sz="0" w:space="0" w:color="auto"/>
      </w:divBdr>
    </w:div>
    <w:div w:id="481167350">
      <w:bodyDiv w:val="1"/>
      <w:marLeft w:val="0"/>
      <w:marRight w:val="0"/>
      <w:marTop w:val="0"/>
      <w:marBottom w:val="0"/>
      <w:divBdr>
        <w:top w:val="none" w:sz="0" w:space="0" w:color="auto"/>
        <w:left w:val="none" w:sz="0" w:space="0" w:color="auto"/>
        <w:bottom w:val="none" w:sz="0" w:space="0" w:color="auto"/>
        <w:right w:val="none" w:sz="0" w:space="0" w:color="auto"/>
      </w:divBdr>
    </w:div>
    <w:div w:id="1329137852">
      <w:bodyDiv w:val="1"/>
      <w:marLeft w:val="0"/>
      <w:marRight w:val="0"/>
      <w:marTop w:val="0"/>
      <w:marBottom w:val="0"/>
      <w:divBdr>
        <w:top w:val="none" w:sz="0" w:space="0" w:color="auto"/>
        <w:left w:val="none" w:sz="0" w:space="0" w:color="auto"/>
        <w:bottom w:val="none" w:sz="0" w:space="0" w:color="auto"/>
        <w:right w:val="none" w:sz="0" w:space="0" w:color="auto"/>
      </w:divBdr>
    </w:div>
    <w:div w:id="16719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tv.info/wettspielbetrieb/click-tt/" TargetMode="External"/><Relationship Id="rId3" Type="http://schemas.openxmlformats.org/officeDocument/2006/relationships/settings" Target="settings.xml"/><Relationship Id="rId7" Type="http://schemas.openxmlformats.org/officeDocument/2006/relationships/hyperlink" Target="https://tttv.info/wettspielbetrieb/click-t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1999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Trautwein</dc:creator>
  <cp:keywords/>
  <dc:description/>
  <cp:lastModifiedBy>Christian Kreienbrink</cp:lastModifiedBy>
  <cp:revision>4</cp:revision>
  <dcterms:created xsi:type="dcterms:W3CDTF">2025-05-24T17:42:00Z</dcterms:created>
  <dcterms:modified xsi:type="dcterms:W3CDTF">2025-05-24T18:06:00Z</dcterms:modified>
</cp:coreProperties>
</file>